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Strömsund kommunfullmäktige</w:t>
      </w:r>
    </w:p>
    <w:p>
      <w:pPr>
        <w:pStyle w:val="Heading1"/>
      </w:pPr>
      <w:r>
        <w:t xml:space="preserve">Fler platser på särskilt boende i Strömsund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Strömsund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Strömsund har långa köer till särskilt boende. Kolada 2025 visar genomsnittlig kötid på 8 månader, högre än länsgenomsnittet. Andelen invånare över 80 år är 22 procent och ökar. Bristande platser leder till onödiga sjukhusvistelser och otrygghet för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Strömsund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kommunstyrelsen att ta fram en plan för minst 20 nya platser på särskilt boende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investeringsmedel för utbyggnad av särskilt boende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årlig uppföljning av köstatistik och rapportera till 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utreda samverkan med Region Jämtland för korttidsplatser.</w:t>
      </w:r>
    </w:p>
    <w:p>
      <w:pPr>
        <w:spacing w:before="360"/>
      </w:pPr>
    </w:p>
    <w:p>
      <w:r>
        <w:t xml:space="preserve">Strömsund,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Strömsund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2026-07-14T01:23:58.964Z</dcterms:created>
  <dcterms:modified xsi:type="dcterms:W3CDTF">2026-07-14T01:23:58.964Z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